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40" w:lineRule="exact"/>
        <w:jc w:val="both"/>
        <w:rPr>
          <w:rFonts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eastAsia="华文中宋"/>
          <w:b/>
          <w:w w:val="90"/>
          <w:sz w:val="44"/>
          <w:szCs w:val="44"/>
        </w:rPr>
        <w:t>中央农办</w:t>
      </w:r>
      <w:r>
        <w:rPr>
          <w:rFonts w:eastAsia="华文中宋"/>
          <w:b/>
          <w:w w:val="90"/>
          <w:sz w:val="44"/>
          <w:szCs w:val="44"/>
        </w:rPr>
        <w:t xml:space="preserve"> </w:t>
      </w:r>
      <w:r>
        <w:rPr>
          <w:rFonts w:hint="eastAsia" w:eastAsia="华文中宋"/>
          <w:b/>
          <w:w w:val="90"/>
          <w:sz w:val="44"/>
          <w:szCs w:val="44"/>
        </w:rPr>
        <w:t>农业农村部乡村振兴专家咨询委员会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4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hAnsi="华文中宋" w:eastAsia="华文中宋"/>
          <w:b/>
          <w:sz w:val="44"/>
          <w:szCs w:val="44"/>
        </w:rPr>
        <w:t>软科学课题研究目录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jc w:val="center"/>
        <w:rPr>
          <w:rFonts w:eastAsia="楷体_GB2312"/>
          <w:b/>
          <w:sz w:val="36"/>
          <w:szCs w:val="36"/>
        </w:rPr>
      </w:pPr>
      <w:r>
        <w:rPr>
          <w:rFonts w:hint="eastAsia" w:eastAsia="楷体_GB2312"/>
          <w:b/>
          <w:sz w:val="36"/>
          <w:szCs w:val="36"/>
        </w:rPr>
        <w:t>（</w:t>
      </w:r>
      <w:r>
        <w:rPr>
          <w:rFonts w:eastAsia="楷体_GB2312"/>
          <w:b/>
          <w:sz w:val="36"/>
          <w:szCs w:val="36"/>
        </w:rPr>
        <w:t>202</w:t>
      </w:r>
      <w:r>
        <w:rPr>
          <w:rFonts w:hint="eastAsia" w:eastAsia="楷体_GB2312"/>
          <w:b/>
          <w:sz w:val="36"/>
          <w:szCs w:val="36"/>
          <w:lang w:val="en-US" w:eastAsia="zh-CN"/>
        </w:rPr>
        <w:t>3</w:t>
      </w:r>
      <w:r>
        <w:rPr>
          <w:rFonts w:hint="eastAsia" w:eastAsia="楷体_GB2312"/>
          <w:b/>
          <w:sz w:val="36"/>
          <w:szCs w:val="36"/>
        </w:rPr>
        <w:t>年度）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jc w:val="center"/>
        <w:rPr>
          <w:rFonts w:eastAsia="仿宋_GB2312"/>
          <w:b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一、开放命题</w:t>
      </w:r>
    </w:p>
    <w:p>
      <w:pPr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1.习近平总书记关于</w:t>
      </w:r>
      <w:r>
        <w:rPr>
          <w:rFonts w:hint="eastAsia" w:ascii="楷体" w:hAnsi="楷体" w:eastAsia="楷体" w:cs="楷体"/>
          <w:b/>
          <w:sz w:val="32"/>
          <w:szCs w:val="32"/>
        </w:rPr>
        <w:t>“三农”</w:t>
      </w:r>
      <w:r>
        <w:rPr>
          <w:rFonts w:ascii="Times New Roman" w:hAnsi="Times New Roman" w:eastAsia="楷体_GB2312" w:cs="Times New Roman"/>
          <w:b/>
          <w:sz w:val="32"/>
          <w:szCs w:val="32"/>
        </w:rPr>
        <w:t>工作重要论述的理论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体系</w:t>
      </w:r>
      <w:r>
        <w:rPr>
          <w:rFonts w:ascii="Times New Roman" w:hAnsi="Times New Roman" w:eastAsia="楷体_GB2312" w:cs="Times New Roman"/>
          <w:b/>
          <w:sz w:val="32"/>
          <w:szCs w:val="32"/>
        </w:rPr>
        <w:t>、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时代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特征和实践价值研究</w:t>
      </w:r>
    </w:p>
    <w:p>
      <w:pPr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系统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梳理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习近平总书记关于“三农”工作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重要论述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形成的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思想脉络，总结提炼其中所蕴含的鲜明理论特征和实践价值，进一步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升华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对重要论述的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科学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性、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性和规律性认识，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重要论述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转化为全面推进乡村振兴、加快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农业强国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理论武装、实践遵循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的路径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加快建设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农业强国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战略研究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围绕建设农业强国目标，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分析国外农业强国的共同特征，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立足国情农情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时代特征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、中国特色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，系统研究未来5年、到2035年、到本世纪中叶</w:t>
      </w:r>
      <w:r>
        <w:rPr>
          <w:rFonts w:hint="eastAsia" w:eastAsia="仿宋_GB2312" w:cs="Times New Roman"/>
          <w:sz w:val="32"/>
          <w:szCs w:val="32"/>
          <w:lang w:eastAsia="zh-CN"/>
        </w:rPr>
        <w:t>三个阶段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</w:t>
      </w:r>
      <w:r>
        <w:rPr>
          <w:rFonts w:hint="eastAsia" w:eastAsia="仿宋_GB2312" w:cs="Times New Roman"/>
          <w:sz w:val="32"/>
          <w:szCs w:val="32"/>
          <w:lang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总体思路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抓手载体和政策支撑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全方位夯实粮食安全根基研究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结合国内外形势发展变化，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分析粮食安全形势，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坚持系统思维、底线思维，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围绕藏粮于地、藏粮于技、农民种粮挣钱得利、地方抓粮担责尽义等方面，研究提出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全方位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夯实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的体制机制、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过渡期后脱贫人口和脱贫地区常态化帮扶机制研究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在深入调查研究的基础上，就推动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防止返贫帮扶政策和农村低收入人口帮扶政策衔接并轨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欠发达地区常态化帮扶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机制、增强脱贫地区和脱贫群众内生发展动力，提出政策建议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拓宽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农民增收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致富渠道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分析当前农民增收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面临的新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形势，深入分析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当前和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今后一个时期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促进农民增收的重点难点，着眼扎实推进共同富裕，研究提出促进农民增收的可行路径和新思路、新举措。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逐步使农村基本具备现代生活条件研究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宜居宜业和美乡村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到2035年农村基本具备现代生活条件的目标，结合城乡关系和村庄布局演变趋势，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研究逐步使农村基本具备现代生活条件的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标准、实现步骤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政策举措。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畅通城乡要素流动研究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破除妨碍城乡要素平等交换、双向流动制度壁垒，推动人、地、钱、技术、管理、信息等资源要素更多下乡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研究提出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率先在县域内破除城乡二元结构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的政策举措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赋予农民更加充分的财产权益研究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研究农民资源资产权利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保障机制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分析赋予农民更加充分的财产权益面临的制约因素，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针对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不同类型财产权益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，提出适应社会主义市场经济要求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扩大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农村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内需研究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着眼扩大内需战略基点，充分发挥乡村作为消费市场和要素市场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的重要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作用，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从供给端、流通端、需求端多方发力，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研究“三农”领域促进消费、扩大投资的潜力方向、重点内容、可行路径以及操作性的工程项目、政策举措。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10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我国人口变动趋势对农业农村发展影响研究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研判未来一个时期我国人口总量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、年龄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、城乡结构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变化趋势，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分析人口变动对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粮食安全、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乡村建设、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乡村治理等领域的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中长期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影响，提出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前瞻性应对的思路和建议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二、规定命题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构建多元化食物供给体系研究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贯彻落实大食物观，深入分析今后一个时期我国食物消费变动趋势、供需结构矛盾，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围绕发展现代设施农业、推进畜牧业转型升级等重点，就加快构建粮经饲统筹、农林牧渔结合、植物动物微生物并举的多元化食物供给体系，提出可行性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、可操作性的政策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健全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种粮农民收益保障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粮食主产区利益补偿机制研究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国际比较分析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，梳理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我国种粮农民收益保障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粮食主产区利益补偿机制存在的突出问题，剖析深层次原因，就保障种粮农民收益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、完善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纵向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利益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补偿机制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探索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横向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利益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补偿机制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，提出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.提升我国粮食产业链供应链韧性和安全水平研究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立足两个大局，坚持底线思维，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深刻把握我国粮食安全内外形势变化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趋势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，全面梳理粮食产业链供应链中存在的短板和弱项，研究提出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增强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我国粮食产业链供应链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韧性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的目标任务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和政策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举措。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大豆油料产能提升长效政策研究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大豆油料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产能提升目标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任务，深入分析大豆油料扩种后续销售、加工等面临的问题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及制约瓶颈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品种培育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、经营方式、加工路线、收储制度、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消费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节约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品种替代、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贸易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、金融保险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等方面提出一揽子政策建议。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.巩固易地搬迁脱贫成果研究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基于理论分析、政策梳理和实地调研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</w:t>
      </w:r>
      <w:r>
        <w:rPr>
          <w:rFonts w:hint="default" w:ascii="仿宋_GB2312" w:hAnsi="仿宋_GB2312" w:eastAsia="仿宋_GB2312" w:cs="仿宋_GB2312"/>
          <w:sz w:val="32"/>
          <w:szCs w:val="32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搬迁群众生产生活</w:t>
      </w:r>
      <w:r>
        <w:rPr>
          <w:rFonts w:hint="default" w:ascii="仿宋_GB2312" w:hAnsi="仿宋_GB2312" w:eastAsia="仿宋_GB2312" w:cs="仿宋_GB2312"/>
          <w:sz w:val="32"/>
          <w:szCs w:val="32"/>
        </w:rPr>
        <w:t>现状，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聚焦产业、就业、配套设施和公共服务、社区治理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心态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等，设计提出能使易地搬迁群众稳得住、能融入、逐步能致富的努力方向、政策体系与实招硬招。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</w:rPr>
        <w:t>.增强乡村振兴重点帮扶县发展能力研究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在政策梳理和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深入调研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的基础上，评价国家乡村振兴重点帮扶县发展成效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和存在问题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，研究</w:t>
      </w:r>
      <w:r>
        <w:rPr>
          <w:rFonts w:hint="default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改善国家乡村振兴重点帮扶县发展条件、提升发展能力的基本思路与实现路径，作出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前瞻</w:t>
      </w:r>
      <w:r>
        <w:rPr>
          <w:rFonts w:hint="eastAsia" w:ascii="仿宋_GB2312" w:hAnsi="仿宋_GB2312" w:eastAsia="仿宋_GB2312" w:cs="仿宋_GB2312"/>
          <w:sz w:val="32"/>
          <w:szCs w:val="32"/>
        </w:rPr>
        <w:t>性、可操作性的政策体系设计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7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.中国特色适度规模经营研究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立足小农数量众多的基本国情农情，围绕完善双层经营体制、发展社会化服务、培育新型农业经营主体、推动小农户与现代农业发展有机衔接，归纳提出中国特色适度规模经营的内涵外延和实现路径，提出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围绕“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土特产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”发展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乡村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特色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产业研究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紧扣“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土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特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产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”要求，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着眼开发乡土资源、突出地域特点、打造产业集群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在充分调研的基础上，研究提出推动乡村产业全链条升级、增强市场竞争力和可持续发展能力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、健全联农带农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益农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的政策建议。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.草原畜牧业转型升级研究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围绕合理利用草地资源、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划区轮牧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、创新经营模式、完善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利益联结机制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，深入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分析当前草原畜牧业发展面临的重点难点问题，研究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草原畜牧业转型升级的目标任务、总体思路和政策举措。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扩大农业投资研究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对照加快建设农业强国的目标要求，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梳理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当前农业投资现状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科学研判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农业投资变化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规律趋势，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结合我国农业发展特点，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提出引导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资本进入农业的重点领域、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平台载体、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有效路径、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投融资模式和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配套政策。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县域经济发展促进机制研究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在充分调研的基础上，研究县域在构建新发展格局中的地位，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科学研判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发展趋势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和分化态势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加快县域产业发展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地就业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和市民化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推动县域城乡融合发展提出思路和建议。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楷体_GB2312" w:cs="Times New Roman"/>
          <w:b/>
          <w:color w:val="auto"/>
          <w:sz w:val="32"/>
          <w:szCs w:val="32"/>
        </w:rPr>
        <w:t>.完善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农村养老服务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体系</w:t>
      </w:r>
      <w:r>
        <w:rPr>
          <w:rFonts w:hint="eastAsia" w:ascii="Times New Roman" w:hAnsi="Times New Roman" w:eastAsia="楷体_GB2312" w:cs="Times New Roman"/>
          <w:b/>
          <w:color w:val="auto"/>
          <w:sz w:val="32"/>
          <w:szCs w:val="32"/>
        </w:rPr>
        <w:t>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立足农民需求和农村特点，就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完善居家养老服务网络、推进村庄公共设施适老化改造、发展农村普惠型养老服务、支持家庭承担养老功能、强化政府养老机构兜底保障等，总结各地创新性的实践和做法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提出可行性、操作性强的政策建议。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23.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基层治理体系优化创新研究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适应基层治理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新形势新要求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，研究总结各地创新模式和实践经验，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推动县域治理和服务重心下移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资源下沉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促进乡镇赋权扩能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数字化技术应用机制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eastAsia="zh-CN"/>
        </w:rPr>
        <w:t>提升基层治理效能等方面，提出优化基层治理体系的可行思路和政策建议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中华农耕文明中的“和”文化研究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系统梳理中华农耕文明中“和”文化的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内涵，分析“和”文化在当代乡村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的价值体现，总结地方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传承发扬</w:t>
      </w:r>
      <w:r>
        <w:rPr>
          <w:rFonts w:hint="eastAsia" w:ascii="仿宋_GB2312" w:hAnsi="仿宋_GB2312" w:eastAsia="仿宋_GB2312" w:cs="仿宋_GB2312"/>
          <w:sz w:val="32"/>
          <w:szCs w:val="32"/>
        </w:rPr>
        <w:t>“和”文化的经验做法，研究提出宜居宜业和美乡村建设中“和”文化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具体类型与</w:t>
      </w:r>
      <w:r>
        <w:rPr>
          <w:rFonts w:hint="eastAsia" w:ascii="仿宋_GB2312" w:hAnsi="仿宋_GB2312" w:eastAsia="仿宋_GB2312" w:cs="仿宋_GB2312"/>
          <w:sz w:val="32"/>
          <w:szCs w:val="32"/>
        </w:rPr>
        <w:t>实践方式。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新一代农民工群体特征和发展状况研究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立足我国城镇化发展趋势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农民工年龄结构、代际结构变化趋势，通过问卷调查和实地调研，深入分析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后”、“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后”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新一代农民工就业收入、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定居意愿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融入、精神生活、价值追求等方面的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趋势，研究提出政策建议。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新型农村集体经济的发展路径与运行机制研究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新型农村集体经济的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时代特点与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内涵外延，基于实地调研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对比分析各地发展新型农村集体经济的不同模式，提出壮大农村集体经济、完善运行机制、保障农民权益的新路径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新举措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农村宅基地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权利分置和权能完善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研究农村宅基地集体所有权、农户资格权和宅基地使用权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三权分置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实现形式，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进一步明晰所有权、资格权、使用权的权能及实现路径，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落实宅基地所有权、保障农户资格权和农民房屋财产权、适度放活宅基地和农民房屋使用权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楷体_GB2312" w:cs="Times New Roman"/>
          <w:b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依法规范和引导资本下乡研究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通过深入调研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，总结分析资本下乡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暴露出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，下乡资本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面临的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困难，就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加强资本下乡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事前事中事后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全过程监管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营商环境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稳定资本下乡政策预期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、更好发挥社会资本作用，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提出针对性政策建议。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trike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楷体_GB2312" w:cs="Times New Roman"/>
          <w:b/>
          <w:strike w:val="0"/>
          <w:sz w:val="32"/>
          <w:szCs w:val="32"/>
        </w:rPr>
        <w:t>.提升农业科技创新体系整体效能研究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trike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trike w:val="0"/>
          <w:sz w:val="32"/>
          <w:szCs w:val="32"/>
        </w:rPr>
        <w:t>全面梳理分析我国农业科技创新体系存在的突出问题，围绕发挥新型举国体制优势、整合各级各类优势科研资源、强化企业科技创新主体地位、构建“梯次分明、分工协作、适度竞争”的农业科技创新体系，提出对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strike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楷体_GB2312" w:cs="Times New Roman"/>
          <w:b/>
          <w:strike w:val="0"/>
          <w:sz w:val="32"/>
          <w:szCs w:val="32"/>
        </w:rPr>
        <w:t>.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  <w:lang w:eastAsia="zh-CN"/>
        </w:rPr>
        <w:t>新型农业经营主体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</w:rPr>
        <w:t>金融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</w:rPr>
        <w:t>政策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  <w:lang w:eastAsia="zh-CN"/>
        </w:rPr>
        <w:t>创新</w:t>
      </w:r>
      <w:r>
        <w:rPr>
          <w:rFonts w:hint="eastAsia" w:ascii="Times New Roman" w:hAnsi="Times New Roman" w:eastAsia="楷体_GB2312" w:cs="Times New Roman"/>
          <w:b/>
          <w:strike w:val="0"/>
          <w:sz w:val="32"/>
          <w:szCs w:val="32"/>
        </w:rPr>
        <w:t>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ascii="Times New Roman" w:hAnsi="Times New Roman" w:eastAsia="仿宋_GB2312" w:cs="Times New Roman"/>
          <w:strike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trike w:val="0"/>
          <w:sz w:val="32"/>
          <w:szCs w:val="32"/>
        </w:rPr>
        <w:t>系统评价当前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lang w:eastAsia="zh-CN"/>
        </w:rPr>
        <w:t>新型农业经营主体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</w:rPr>
        <w:t>金融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</w:rPr>
        <w:t>政策的执行效果，深入剖析存在的问题及原因，研究提出破解新型农业经营主体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融资难、融资贵、融资慢等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</w:rPr>
        <w:t>问题的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</w:rPr>
        <w:t>对策</w:t>
      </w:r>
      <w:r>
        <w:rPr>
          <w:rFonts w:hint="eastAsia" w:ascii="Times New Roman" w:hAnsi="Times New Roman" w:eastAsia="仿宋_GB2312" w:cs="Times New Roman"/>
          <w:strike w:val="0"/>
          <w:sz w:val="32"/>
          <w:szCs w:val="32"/>
        </w:rPr>
        <w:t>思路和具体政策建议。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加强重要农业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文化遗产保护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利用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研究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全面梳理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我国不同类型农业文化遗产申报认定、保护利用的现状与问题，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坚持在发掘中保护、在利用中传承，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借鉴国内外先进经验，就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不断推进我国农业文化遗产保护实践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政策建议。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人才下乡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入乡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政策保障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机制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研究</w:t>
      </w:r>
    </w:p>
    <w:p>
      <w:pPr>
        <w:numPr>
          <w:ilvl w:val="-1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通过深入调研，系统梳理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大学毕业生到乡、能人回乡、农民工返乡、企业家入乡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的现状和问题，按照本土培养和外部引进相结合的思路，树立阶段性用才理念，提出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有序引导和激励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各类人才下乡入乡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的有效路径和政策机制。</w:t>
      </w:r>
    </w:p>
    <w:p>
      <w:pPr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.乡村振兴考核督查机制研究</w:t>
      </w:r>
    </w:p>
    <w:p>
      <w:pPr>
        <w:pStyle w:val="3"/>
        <w:adjustRightInd w:val="0"/>
        <w:snapToGrid w:val="0"/>
        <w:spacing w:line="360" w:lineRule="auto"/>
        <w:rPr>
          <w:rFonts w:eastAsia="仿宋_GB2312"/>
          <w:sz w:val="26"/>
          <w:szCs w:val="2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837" w:right="1797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结合“三农”工作特点和实施乡村振兴战略需要，梳理有关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领域和部门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督查的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经验做法，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完善乡村振兴战略实绩考核机制，优化考核督查指标体系、步骤流程、结果运用等，提出针对性的政策建议。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zUxZjBjMTk2NjNhODZjZWI3MmE4NWMyYjNjNGMifQ=="/>
  </w:docVars>
  <w:rsids>
    <w:rsidRoot w:val="510C3B16"/>
    <w:rsid w:val="510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2023-02-22T02:29:00Z</dcterms:created>
  <dc:creator>我想静静</dc:creator>
  <cp:lastModifiedBy>我想静静</cp:lastModifiedBy>
  <dcterms:modified xsi:type="dcterms:W3CDTF">2023-02-22T02:44:11Z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48C584B6BC5D4EF6B95B7ABE000FCCEE</vt:lpwstr>
  </property>
</Properties>
</file>